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D4" w:rsidRDefault="004926D4" w:rsidP="00616C15">
      <w:pPr>
        <w:spacing w:before="240" w:line="360" w:lineRule="auto"/>
        <w:jc w:val="both"/>
      </w:pPr>
    </w:p>
    <w:p w:rsidR="006174D8" w:rsidRPr="006174D8" w:rsidRDefault="003C016C" w:rsidP="00616C15">
      <w:pPr>
        <w:spacing w:before="240" w:after="0" w:line="360" w:lineRule="auto"/>
        <w:jc w:val="center"/>
        <w:rPr>
          <w:b/>
          <w:sz w:val="28"/>
        </w:rPr>
      </w:pPr>
      <w:r w:rsidRPr="003C016C">
        <w:rPr>
          <w:b/>
          <w:sz w:val="28"/>
        </w:rPr>
        <w:t>Branża opakowań spotyka się w Poznaniu!</w:t>
      </w:r>
      <w:bookmarkStart w:id="0" w:name="_GoBack"/>
      <w:bookmarkEnd w:id="0"/>
    </w:p>
    <w:p w:rsidR="006174D8" w:rsidRPr="000B5ADD" w:rsidRDefault="006174D8" w:rsidP="00616C15">
      <w:pPr>
        <w:spacing w:before="240" w:after="0" w:line="360" w:lineRule="auto"/>
        <w:jc w:val="both"/>
        <w:rPr>
          <w:b/>
        </w:rPr>
      </w:pPr>
      <w:r w:rsidRPr="000B5ADD">
        <w:rPr>
          <w:b/>
        </w:rPr>
        <w:t>J</w:t>
      </w:r>
      <w:r w:rsidR="009D0BF7">
        <w:rPr>
          <w:b/>
        </w:rPr>
        <w:t xml:space="preserve">uż </w:t>
      </w:r>
      <w:r w:rsidR="00D40DEA">
        <w:rPr>
          <w:b/>
        </w:rPr>
        <w:t xml:space="preserve">za kilka </w:t>
      </w:r>
      <w:r w:rsidR="00890A8C">
        <w:rPr>
          <w:b/>
        </w:rPr>
        <w:t>tygodni</w:t>
      </w:r>
      <w:r w:rsidRPr="000B5ADD">
        <w:rPr>
          <w:b/>
        </w:rPr>
        <w:t xml:space="preserve"> w dniach 4-6 października 2021 r</w:t>
      </w:r>
      <w:r w:rsidR="00820E18">
        <w:rPr>
          <w:b/>
        </w:rPr>
        <w:t>oku</w:t>
      </w:r>
      <w:r w:rsidRPr="000B5ADD">
        <w:rPr>
          <w:b/>
        </w:rPr>
        <w:t xml:space="preserve">, na terenie Międzynarodowych Targów Poznańskich odbędą się Targi </w:t>
      </w:r>
      <w:proofErr w:type="spellStart"/>
      <w:r w:rsidRPr="000B5ADD">
        <w:rPr>
          <w:b/>
        </w:rPr>
        <w:t>Tar</w:t>
      </w:r>
      <w:r w:rsidR="00820E18">
        <w:rPr>
          <w:b/>
        </w:rPr>
        <w:t>opak</w:t>
      </w:r>
      <w:proofErr w:type="spellEnd"/>
      <w:r w:rsidRPr="000B5ADD">
        <w:rPr>
          <w:b/>
        </w:rPr>
        <w:t xml:space="preserve"> poświęcone technikom pakowania i etykietowania. W tym roku po raz k</w:t>
      </w:r>
      <w:r w:rsidR="00820E18">
        <w:rPr>
          <w:b/>
        </w:rPr>
        <w:t>olejny odwiedzający będą mogli porozmawiać z wystawcami, którzy za</w:t>
      </w:r>
      <w:r w:rsidRPr="000B5ADD">
        <w:rPr>
          <w:b/>
        </w:rPr>
        <w:t xml:space="preserve">oferują nie tylko surowce, półprodukty czy materiały opakowaniowe, ale także maszyny </w:t>
      </w:r>
      <w:r w:rsidR="00072663" w:rsidRPr="000B5ADD">
        <w:rPr>
          <w:b/>
        </w:rPr>
        <w:t xml:space="preserve">i urządzenia </w:t>
      </w:r>
      <w:r w:rsidRPr="000B5ADD">
        <w:rPr>
          <w:b/>
        </w:rPr>
        <w:t xml:space="preserve">pakujące </w:t>
      </w:r>
      <w:r w:rsidR="00072663" w:rsidRPr="000B5ADD">
        <w:rPr>
          <w:b/>
        </w:rPr>
        <w:t xml:space="preserve">oraz maszyny służące do wyrobu opakowań. A w </w:t>
      </w:r>
      <w:r w:rsidR="00820E18">
        <w:rPr>
          <w:b/>
        </w:rPr>
        <w:t>2021</w:t>
      </w:r>
      <w:r w:rsidR="00072663" w:rsidRPr="000B5ADD">
        <w:rPr>
          <w:b/>
        </w:rPr>
        <w:t xml:space="preserve"> r</w:t>
      </w:r>
      <w:r w:rsidR="00820E18">
        <w:rPr>
          <w:b/>
        </w:rPr>
        <w:t>.</w:t>
      </w:r>
      <w:r w:rsidR="00072663" w:rsidRPr="000B5ADD">
        <w:rPr>
          <w:b/>
        </w:rPr>
        <w:t xml:space="preserve"> branża ma się czym pochwalić!</w:t>
      </w:r>
    </w:p>
    <w:p w:rsidR="006174D8" w:rsidRDefault="000B5ADD" w:rsidP="00616C15">
      <w:pPr>
        <w:spacing w:before="240" w:after="0" w:line="360" w:lineRule="auto"/>
        <w:jc w:val="both"/>
      </w:pPr>
      <w:r w:rsidRPr="006174D8">
        <w:t>W</w:t>
      </w:r>
      <w:r>
        <w:t>edłu</w:t>
      </w:r>
      <w:r w:rsidRPr="006174D8">
        <w:t xml:space="preserve">g tegorocznego raportu na temat branży opakowaniowej, przygotowanego przez Santander Bank Polska S.A. i </w:t>
      </w:r>
      <w:proofErr w:type="spellStart"/>
      <w:r w:rsidRPr="006174D8">
        <w:t>SpotData</w:t>
      </w:r>
      <w:proofErr w:type="spellEnd"/>
      <w:r w:rsidR="00FE6F4B">
        <w:rPr>
          <w:rStyle w:val="Odwoanieprzypisudolnego"/>
        </w:rPr>
        <w:footnoteReference w:id="1"/>
      </w:r>
      <w:r w:rsidRPr="006174D8">
        <w:t>, w Polsce rocznie produkuje się ok. 6 mln ton opakowań, co daje 157 kg na osobę</w:t>
      </w:r>
      <w:r w:rsidR="0089411D">
        <w:t xml:space="preserve"> w roku</w:t>
      </w:r>
      <w:r w:rsidRPr="006174D8">
        <w:t>. Prognozy pokazują, że wartość ta będzie rosła ok. 10% rocznie, a zyski</w:t>
      </w:r>
      <w:r w:rsidR="004D46E6">
        <w:t xml:space="preserve"> w branży</w:t>
      </w:r>
      <w:r w:rsidRPr="006174D8">
        <w:t xml:space="preserve"> bę</w:t>
      </w:r>
      <w:r w:rsidR="004D46E6">
        <w:t xml:space="preserve">dą wzrastać o ok. 12% co rok. </w:t>
      </w:r>
      <w:r w:rsidR="006174D8">
        <w:t xml:space="preserve">Polska od wielu lat jest jednym z największych rynków w branży opakowań w Europie. </w:t>
      </w:r>
      <w:r w:rsidR="004B4002">
        <w:t>Badania wy</w:t>
      </w:r>
      <w:r w:rsidR="00B35D06">
        <w:t>kazują, że</w:t>
      </w:r>
      <w:r w:rsidR="000C2BC4">
        <w:t xml:space="preserve"> nie trzeba</w:t>
      </w:r>
      <w:r w:rsidR="00B35D06">
        <w:t xml:space="preserve"> obawiać</w:t>
      </w:r>
      <w:r w:rsidR="000C2BC4">
        <w:t xml:space="preserve"> się ogólnego kryzysu spowodowanego przez pandemię w gospodarce</w:t>
      </w:r>
      <w:r w:rsidR="00444792">
        <w:t>, ponieważ</w:t>
      </w:r>
      <w:r w:rsidR="00B35D06">
        <w:t xml:space="preserve"> branża rośnie z roku na rok</w:t>
      </w:r>
      <w:r w:rsidR="0089411D">
        <w:t xml:space="preserve">, a prognozy są obiecujące zarówno dla producentów opakowań </w:t>
      </w:r>
      <w:r w:rsidR="0089411D" w:rsidRPr="0089411D">
        <w:t xml:space="preserve">z tworzyw sztucznych, jak i papierowych. </w:t>
      </w:r>
      <w:r w:rsidR="00B35D06" w:rsidRPr="0089411D">
        <w:t xml:space="preserve">Dlatego organizatorzy tegorocznych Targów </w:t>
      </w:r>
      <w:proofErr w:type="spellStart"/>
      <w:r w:rsidR="00B35D06" w:rsidRPr="0089411D">
        <w:t>Taropak</w:t>
      </w:r>
      <w:proofErr w:type="spellEnd"/>
      <w:r w:rsidR="00B35D06" w:rsidRPr="0089411D">
        <w:t xml:space="preserve">, </w:t>
      </w:r>
      <w:r w:rsidR="0089411D" w:rsidRPr="0089411D">
        <w:t>nie zwalniają tempa i planują kolejną edycję wydarzenia!</w:t>
      </w:r>
      <w:r w:rsidR="00B35D06" w:rsidRPr="0089411D">
        <w:t xml:space="preserve"> Warto dodać, ż</w:t>
      </w:r>
      <w:r w:rsidR="0089411D" w:rsidRPr="0089411D">
        <w:t>e t</w:t>
      </w:r>
      <w:r w:rsidR="006174D8" w:rsidRPr="0089411D">
        <w:t xml:space="preserve">radycja organizowania </w:t>
      </w:r>
      <w:r w:rsidR="00B45975" w:rsidRPr="0089411D">
        <w:t xml:space="preserve">w Poznaniu </w:t>
      </w:r>
      <w:r w:rsidR="00B45975">
        <w:t xml:space="preserve">targów </w:t>
      </w:r>
      <w:r w:rsidR="006174D8">
        <w:t>dla sektora producentów i dostawców technologii pakowania, et</w:t>
      </w:r>
      <w:r w:rsidR="00C53D86">
        <w:t xml:space="preserve">ykietowania </w:t>
      </w:r>
      <w:r w:rsidR="00B45975">
        <w:t>oraz rozwiązań związanych z magazynowaniem i zarządzaniem łańcuchem dostaw</w:t>
      </w:r>
      <w:r w:rsidR="006174D8">
        <w:t>, ma</w:t>
      </w:r>
      <w:r w:rsidR="00B45975">
        <w:t xml:space="preserve"> już ponad czterdzieści lat!</w:t>
      </w:r>
    </w:p>
    <w:p w:rsidR="00311E60" w:rsidRPr="00E1477E" w:rsidRDefault="00E1477E" w:rsidP="00616C15">
      <w:pPr>
        <w:spacing w:before="240" w:after="0" w:line="360" w:lineRule="auto"/>
        <w:jc w:val="both"/>
        <w:rPr>
          <w:b/>
        </w:rPr>
      </w:pPr>
      <w:r w:rsidRPr="00E1477E">
        <w:rPr>
          <w:b/>
        </w:rPr>
        <w:t>Wiedza i doświadczenie</w:t>
      </w:r>
      <w:r w:rsidR="00461B30">
        <w:rPr>
          <w:b/>
        </w:rPr>
        <w:t xml:space="preserve"> zdobywane przez lata</w:t>
      </w:r>
    </w:p>
    <w:p w:rsidR="0063295A" w:rsidRDefault="00FF717F" w:rsidP="00616C15">
      <w:pPr>
        <w:spacing w:before="240" w:after="0" w:line="360" w:lineRule="auto"/>
        <w:jc w:val="both"/>
      </w:pPr>
      <w:r>
        <w:t xml:space="preserve">Targi </w:t>
      </w:r>
      <w:proofErr w:type="spellStart"/>
      <w:r>
        <w:t>Taropak</w:t>
      </w:r>
      <w:proofErr w:type="spellEnd"/>
      <w:r w:rsidR="004154C8">
        <w:t xml:space="preserve"> </w:t>
      </w:r>
      <w:r w:rsidR="00EC4A49">
        <w:t>już od</w:t>
      </w:r>
      <w:r w:rsidR="004154C8">
        <w:t xml:space="preserve"> początku </w:t>
      </w:r>
      <w:r w:rsidR="00EC4A49">
        <w:t>istnienia są wydarzeniem bardzo</w:t>
      </w:r>
      <w:r w:rsidR="004154C8">
        <w:t xml:space="preserve"> wysoko cenionym zarówno przez uczestników, jak</w:t>
      </w:r>
      <w:r w:rsidR="00EC4A49">
        <w:t xml:space="preserve"> </w:t>
      </w:r>
      <w:r w:rsidR="004154C8">
        <w:t>i wiele instytucji i organizacji branżowych, w tym Polską Izbę Opakowań (PIO)</w:t>
      </w:r>
      <w:r w:rsidR="007C4BE3">
        <w:t xml:space="preserve"> czy </w:t>
      </w:r>
      <w:r w:rsidR="007C4BE3" w:rsidRPr="007C4BE3">
        <w:t>Centrum Badawczo-Rozwojowe Opakowań</w:t>
      </w:r>
      <w:r w:rsidR="007C4BE3">
        <w:t xml:space="preserve"> (</w:t>
      </w:r>
      <w:r w:rsidR="007C4BE3" w:rsidRPr="007C4BE3">
        <w:t>COBRO</w:t>
      </w:r>
      <w:r w:rsidR="007C4BE3">
        <w:t>)</w:t>
      </w:r>
      <w:r w:rsidR="004154C8">
        <w:t>. Korzyści z aktywnego uczestnictwa w wydarzeni</w:t>
      </w:r>
      <w:r w:rsidR="00EC4A49">
        <w:t>u</w:t>
      </w:r>
      <w:r w:rsidR="004154C8">
        <w:t xml:space="preserve"> zostały szybko zauważone zarówno przez polskich,</w:t>
      </w:r>
      <w:r w:rsidR="00EC4A49">
        <w:t xml:space="preserve"> jak i zagranicznych wystawców. Obecnie każda edycja T</w:t>
      </w:r>
      <w:r w:rsidR="004154C8">
        <w:t xml:space="preserve">argów </w:t>
      </w:r>
      <w:proofErr w:type="spellStart"/>
      <w:r w:rsidR="004154C8">
        <w:t>T</w:t>
      </w:r>
      <w:r w:rsidR="00EC4A49">
        <w:t>aropak</w:t>
      </w:r>
      <w:proofErr w:type="spellEnd"/>
      <w:r w:rsidR="0063295A">
        <w:t xml:space="preserve"> przyciąga setki</w:t>
      </w:r>
      <w:r w:rsidR="004154C8">
        <w:t xml:space="preserve"> wystawców i tysiące </w:t>
      </w:r>
      <w:r w:rsidR="0063295A">
        <w:t xml:space="preserve">zwiedzających z całego świata. </w:t>
      </w:r>
    </w:p>
    <w:p w:rsidR="00C53D86" w:rsidRDefault="003B1668" w:rsidP="00616C15">
      <w:pPr>
        <w:spacing w:before="240" w:after="0" w:line="360" w:lineRule="auto"/>
        <w:jc w:val="both"/>
      </w:pPr>
      <w:r>
        <w:t xml:space="preserve">Podczas Targów wystawcy prezentują szeroką gamę gotowych produktów czy półproduktów, ale </w:t>
      </w:r>
      <w:r w:rsidR="00294293">
        <w:t xml:space="preserve">od lat </w:t>
      </w:r>
      <w:r>
        <w:t>cor</w:t>
      </w:r>
      <w:r w:rsidR="00C53D86">
        <w:t xml:space="preserve">az większą popularnością cieszy </w:t>
      </w:r>
      <w:r>
        <w:t xml:space="preserve">się segment obejmujący </w:t>
      </w:r>
      <w:r w:rsidR="004154C8">
        <w:t>maszyn</w:t>
      </w:r>
      <w:r>
        <w:t>y</w:t>
      </w:r>
      <w:r w:rsidR="004154C8">
        <w:t xml:space="preserve"> </w:t>
      </w:r>
      <w:r>
        <w:t xml:space="preserve">i urządzenia </w:t>
      </w:r>
      <w:r w:rsidR="004154C8">
        <w:t xml:space="preserve">do produkcji opakowań </w:t>
      </w:r>
      <w:r>
        <w:t xml:space="preserve">oraz sprzęt </w:t>
      </w:r>
      <w:r w:rsidR="004154C8">
        <w:t xml:space="preserve">do pakowania. </w:t>
      </w:r>
      <w:r w:rsidR="00C53D86">
        <w:t>Dzięki wydarzeniu zyskuje też</w:t>
      </w:r>
      <w:r w:rsidR="004154C8">
        <w:t xml:space="preserve"> branż</w:t>
      </w:r>
      <w:r w:rsidR="00C53D86">
        <w:t>a logistyczna</w:t>
      </w:r>
      <w:r w:rsidR="004154C8">
        <w:t>,</w:t>
      </w:r>
      <w:r w:rsidR="00C53D86">
        <w:t xml:space="preserve"> któr</w:t>
      </w:r>
      <w:r w:rsidR="00294293">
        <w:t xml:space="preserve">a ma </w:t>
      </w:r>
      <w:r w:rsidR="00C53D86">
        <w:lastRenderedPageBreak/>
        <w:t>możliwość zaprezentowania</w:t>
      </w:r>
      <w:r w:rsidR="004154C8">
        <w:t xml:space="preserve"> </w:t>
      </w:r>
      <w:r w:rsidR="00294293">
        <w:t xml:space="preserve">maszyn i urządzeń niezbędnych do procesów magazynowania, </w:t>
      </w:r>
      <w:r w:rsidR="004154C8">
        <w:t xml:space="preserve">transportu wewnętrznego oraz </w:t>
      </w:r>
      <w:r w:rsidR="00294293">
        <w:t xml:space="preserve">procesów informatycznych związanych z przechowywaniem, pakowaniem czy </w:t>
      </w:r>
      <w:r w:rsidR="00997384">
        <w:t xml:space="preserve">kompleksowym </w:t>
      </w:r>
      <w:r w:rsidR="00294293">
        <w:t>co-</w:t>
      </w:r>
      <w:proofErr w:type="spellStart"/>
      <w:r w:rsidR="00294293">
        <w:t>packingiem</w:t>
      </w:r>
      <w:proofErr w:type="spellEnd"/>
      <w:r w:rsidR="004154C8">
        <w:t xml:space="preserve">. </w:t>
      </w:r>
    </w:p>
    <w:p w:rsidR="007310B4" w:rsidRDefault="007310B4" w:rsidP="00616C15">
      <w:pPr>
        <w:spacing w:before="240" w:after="0" w:line="360" w:lineRule="auto"/>
        <w:jc w:val="both"/>
      </w:pPr>
      <w:r>
        <w:t xml:space="preserve">Udział w tegorocznych Targach </w:t>
      </w:r>
      <w:proofErr w:type="spellStart"/>
      <w:r>
        <w:t>Taropak</w:t>
      </w:r>
      <w:proofErr w:type="spellEnd"/>
      <w:r>
        <w:t xml:space="preserve"> już za</w:t>
      </w:r>
      <w:r w:rsidR="00890A8C">
        <w:t>powiedziało</w:t>
      </w:r>
      <w:r>
        <w:t xml:space="preserve"> wiele firm </w:t>
      </w:r>
      <w:r>
        <w:rPr>
          <w:rFonts w:cs="Times New Roman"/>
        </w:rPr>
        <w:t>prezentujących</w:t>
      </w:r>
      <w:r w:rsidRPr="006D013A">
        <w:rPr>
          <w:rFonts w:cs="Times New Roman"/>
        </w:rPr>
        <w:t xml:space="preserve"> maszyny</w:t>
      </w:r>
      <w:r>
        <w:rPr>
          <w:rFonts w:cs="Times New Roman"/>
        </w:rPr>
        <w:t xml:space="preserve"> </w:t>
      </w:r>
      <w:r w:rsidRPr="006D013A">
        <w:rPr>
          <w:rFonts w:cs="Times New Roman"/>
        </w:rPr>
        <w:t xml:space="preserve"> i urządzenia pakujące </w:t>
      </w:r>
      <w:r>
        <w:rPr>
          <w:rFonts w:cs="Times New Roman"/>
        </w:rPr>
        <w:t>czy</w:t>
      </w:r>
      <w:r w:rsidRPr="006D013A">
        <w:rPr>
          <w:rFonts w:cs="Times New Roman"/>
        </w:rPr>
        <w:t xml:space="preserve"> etykietujące</w:t>
      </w:r>
      <w:r>
        <w:t xml:space="preserve">, w tym m.in.: </w:t>
      </w:r>
      <w:proofErr w:type="spellStart"/>
      <w:r>
        <w:t>Eberl</w:t>
      </w:r>
      <w:r w:rsidR="00EA09B6">
        <w:t>e</w:t>
      </w:r>
      <w:proofErr w:type="spellEnd"/>
      <w:r w:rsidR="00EA09B6">
        <w:t>, Maga-</w:t>
      </w:r>
      <w:proofErr w:type="spellStart"/>
      <w:r w:rsidR="00EA09B6">
        <w:t>Biotal</w:t>
      </w:r>
      <w:proofErr w:type="spellEnd"/>
      <w:r w:rsidR="00EA09B6">
        <w:t xml:space="preserve">, </w:t>
      </w:r>
      <w:proofErr w:type="spellStart"/>
      <w:r w:rsidR="00EA09B6">
        <w:t>Elesa</w:t>
      </w:r>
      <w:proofErr w:type="spellEnd"/>
      <w:r w:rsidR="00EA09B6">
        <w:t xml:space="preserve"> + </w:t>
      </w:r>
      <w:proofErr w:type="spellStart"/>
      <w:r w:rsidR="00EA09B6">
        <w:t>Ganter</w:t>
      </w:r>
      <w:proofErr w:type="spellEnd"/>
      <w:r>
        <w:t xml:space="preserve">, </w:t>
      </w:r>
      <w:proofErr w:type="spellStart"/>
      <w:r>
        <w:t>Sacmi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&amp; </w:t>
      </w:r>
      <w:proofErr w:type="spellStart"/>
      <w:r>
        <w:t>Chocolate</w:t>
      </w:r>
      <w:proofErr w:type="spellEnd"/>
      <w:r>
        <w:t xml:space="preserve">, </w:t>
      </w:r>
      <w:proofErr w:type="spellStart"/>
      <w:r>
        <w:t>Comaco</w:t>
      </w:r>
      <w:proofErr w:type="spellEnd"/>
      <w:r>
        <w:t xml:space="preserve">, Opak-System, </w:t>
      </w:r>
      <w:proofErr w:type="spellStart"/>
      <w:r>
        <w:t>Ves</w:t>
      </w:r>
      <w:proofErr w:type="spellEnd"/>
      <w:r>
        <w:t xml:space="preserve"> Ploter,</w:t>
      </w:r>
      <w:r w:rsidR="00890A8C" w:rsidRPr="00890A8C">
        <w:t xml:space="preserve"> </w:t>
      </w:r>
      <w:proofErr w:type="spellStart"/>
      <w:r w:rsidR="00890A8C">
        <w:t>Polpak</w:t>
      </w:r>
      <w:proofErr w:type="spellEnd"/>
      <w:r w:rsidR="00890A8C">
        <w:t>,</w:t>
      </w:r>
      <w:r>
        <w:t xml:space="preserve"> </w:t>
      </w:r>
      <w:proofErr w:type="spellStart"/>
      <w:r>
        <w:t>Estra</w:t>
      </w:r>
      <w:proofErr w:type="spellEnd"/>
      <w:r>
        <w:t xml:space="preserve">, Eco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Frost Sylwester Mróz, </w:t>
      </w:r>
      <w:proofErr w:type="spellStart"/>
      <w:r w:rsidR="00890A8C">
        <w:t>Radpak</w:t>
      </w:r>
      <w:proofErr w:type="spellEnd"/>
      <w:r w:rsidR="00890A8C">
        <w:t xml:space="preserve">, </w:t>
      </w:r>
      <w:r>
        <w:t xml:space="preserve">Pekabex, </w:t>
      </w:r>
      <w:proofErr w:type="spellStart"/>
      <w:r>
        <w:t>Nestro</w:t>
      </w:r>
      <w:proofErr w:type="spellEnd"/>
      <w:r>
        <w:t xml:space="preserve">, </w:t>
      </w:r>
      <w:proofErr w:type="spellStart"/>
      <w:r>
        <w:t>Camozzi</w:t>
      </w:r>
      <w:proofErr w:type="spellEnd"/>
      <w:r>
        <w:t xml:space="preserve"> Automation, Beno Plastik, </w:t>
      </w:r>
      <w:proofErr w:type="spellStart"/>
      <w:r>
        <w:t>Sufilog</w:t>
      </w:r>
      <w:proofErr w:type="spellEnd"/>
      <w:r>
        <w:t xml:space="preserve">, Ima, </w:t>
      </w:r>
      <w:proofErr w:type="spellStart"/>
      <w:r>
        <w:t>Logopak</w:t>
      </w:r>
      <w:proofErr w:type="spellEnd"/>
      <w:r>
        <w:t xml:space="preserve"> East, </w:t>
      </w:r>
      <w:proofErr w:type="spellStart"/>
      <w:r>
        <w:t>Condair</w:t>
      </w:r>
      <w:proofErr w:type="spellEnd"/>
      <w:r>
        <w:t xml:space="preserve"> Systems, </w:t>
      </w:r>
      <w:proofErr w:type="spellStart"/>
      <w:r>
        <w:t>Vm</w:t>
      </w:r>
      <w:proofErr w:type="spellEnd"/>
      <w:r>
        <w:t xml:space="preserve"> Trading, Gest-Pol, Connect, </w:t>
      </w:r>
      <w:proofErr w:type="spellStart"/>
      <w:r>
        <w:t>Limes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, </w:t>
      </w:r>
      <w:proofErr w:type="spellStart"/>
      <w:r>
        <w:t>Bekuplast</w:t>
      </w:r>
      <w:proofErr w:type="spellEnd"/>
      <w:r>
        <w:t xml:space="preserve">, </w:t>
      </w:r>
      <w:proofErr w:type="spellStart"/>
      <w:r>
        <w:t>Piab</w:t>
      </w:r>
      <w:proofErr w:type="spellEnd"/>
      <w:r>
        <w:t xml:space="preserve"> Polska</w:t>
      </w:r>
      <w:r w:rsidR="00EA09B6">
        <w:t xml:space="preserve">, Mech-Masz, BOSKY, </w:t>
      </w:r>
      <w:proofErr w:type="spellStart"/>
      <w:r w:rsidR="00EA09B6">
        <w:t>Polpack</w:t>
      </w:r>
      <w:proofErr w:type="spellEnd"/>
      <w:r>
        <w:t>.</w:t>
      </w:r>
    </w:p>
    <w:p w:rsidR="00461B30" w:rsidRPr="00327E46" w:rsidRDefault="00461B30" w:rsidP="00616C15">
      <w:pPr>
        <w:spacing w:before="240" w:after="0" w:line="360" w:lineRule="auto"/>
        <w:jc w:val="both"/>
        <w:rPr>
          <w:b/>
        </w:rPr>
      </w:pPr>
      <w:r w:rsidRPr="00327E46">
        <w:rPr>
          <w:b/>
        </w:rPr>
        <w:t>Hybrydowa formuła</w:t>
      </w:r>
    </w:p>
    <w:p w:rsidR="00461B30" w:rsidRDefault="00461B30" w:rsidP="00616C15">
      <w:pPr>
        <w:spacing w:before="240" w:after="0" w:line="360" w:lineRule="auto"/>
        <w:jc w:val="both"/>
      </w:pPr>
      <w:r>
        <w:t xml:space="preserve">Warto podkreślić, że w tym roku Targi </w:t>
      </w:r>
      <w:proofErr w:type="spellStart"/>
      <w:r>
        <w:t>Taropak</w:t>
      </w:r>
      <w:proofErr w:type="spellEnd"/>
      <w:r>
        <w:t xml:space="preserve"> odbędą się w formie hybrydowej –</w:t>
      </w:r>
      <w:r w:rsidRPr="00163187">
        <w:t xml:space="preserve"> </w:t>
      </w:r>
      <w:r>
        <w:t xml:space="preserve">stacjonarnie, dając </w:t>
      </w:r>
      <w:r w:rsidR="007C4BE3">
        <w:t>wystawcom tradycyjną</w:t>
      </w:r>
      <w:r>
        <w:t xml:space="preserve"> możliwość na optymalną prezentację produktów, rozwiązań czy wymianę informacji w postaci spotkań na żywo, oraz online – z wykorzystaniem dedykowanej Internetowej Platformy Spotkań, która jest uzupełnieniem klasycznej, znanej wszystkim od lat formy Targów </w:t>
      </w:r>
      <w:proofErr w:type="spellStart"/>
      <w:r>
        <w:t>Taropak</w:t>
      </w:r>
      <w:proofErr w:type="spellEnd"/>
      <w:r>
        <w:t>. Platforma posiada wiele udogodnień zarówno dla odwiedzających, jak i wystawców. Pozwala ona</w:t>
      </w:r>
      <w:r w:rsidRPr="00F6717E">
        <w:t xml:space="preserve"> na zdecydowane</w:t>
      </w:r>
      <w:r w:rsidR="007C4BE3">
        <w:t>, konkretne</w:t>
      </w:r>
      <w:r w:rsidRPr="00F6717E">
        <w:t xml:space="preserve"> działania online i wyprzedzenie konkurencji. </w:t>
      </w:r>
      <w:r w:rsidR="007C4BE3">
        <w:t>Natomiast możliwość zaplanowania wirtualnych spotkań</w:t>
      </w:r>
      <w:r w:rsidRPr="00F6717E">
        <w:t xml:space="preserve"> </w:t>
      </w:r>
      <w:r w:rsidR="007C4BE3">
        <w:t>daje</w:t>
      </w:r>
      <w:r w:rsidRPr="00F6717E">
        <w:t xml:space="preserve"> nieograniczoną możliwość poznania potencjalnych partnerów z całego świata i zdobycia nowych rynków zbytu.</w:t>
      </w:r>
    </w:p>
    <w:p w:rsidR="00461B30" w:rsidRPr="00F6717E" w:rsidRDefault="00461B30" w:rsidP="00616C15">
      <w:pPr>
        <w:spacing w:before="240" w:after="0" w:line="360" w:lineRule="auto"/>
        <w:jc w:val="both"/>
        <w:rPr>
          <w:rFonts w:cstheme="minorHAnsi"/>
          <w:b/>
          <w:color w:val="FF0000"/>
        </w:rPr>
      </w:pPr>
      <w:r>
        <w:t xml:space="preserve">Ponadto Internetowa Platforma Spotkań zapewni odwiedzającym udział online we wszystkich wydarzeniach towarzyszących Targom oraz późniejszy dostęp do nagrań video. Dodatkowo dostęp do Targów </w:t>
      </w:r>
      <w:proofErr w:type="spellStart"/>
      <w:r>
        <w:t>Taropak</w:t>
      </w:r>
      <w:proofErr w:type="spellEnd"/>
      <w:r>
        <w:t xml:space="preserve"> na Platformie Spotkań będzie możliwy aż 30 dni po zakończeniu wydarzenia.</w:t>
      </w:r>
    </w:p>
    <w:p w:rsidR="00E47D1B" w:rsidRPr="00E433B6" w:rsidRDefault="00E47D1B" w:rsidP="00616C15">
      <w:pPr>
        <w:spacing w:before="240" w:after="0" w:line="360" w:lineRule="auto"/>
        <w:jc w:val="both"/>
        <w:rPr>
          <w:b/>
        </w:rPr>
      </w:pPr>
      <w:r w:rsidRPr="00E433B6">
        <w:rPr>
          <w:b/>
        </w:rPr>
        <w:t>Konferencja E-commerce</w:t>
      </w:r>
    </w:p>
    <w:p w:rsidR="00E47D1B" w:rsidRDefault="00E47D1B" w:rsidP="00616C15">
      <w:pPr>
        <w:spacing w:before="240"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Jednak </w:t>
      </w:r>
      <w:r w:rsidRPr="00BE45F9">
        <w:rPr>
          <w:rFonts w:cstheme="minorHAnsi"/>
        </w:rPr>
        <w:t xml:space="preserve">Targi to nie tylko </w:t>
      </w:r>
      <w:r>
        <w:rPr>
          <w:rFonts w:cstheme="minorHAnsi"/>
        </w:rPr>
        <w:t xml:space="preserve">nawiązywanie nowych relacji, </w:t>
      </w:r>
      <w:r w:rsidRPr="00BE45F9">
        <w:rPr>
          <w:rFonts w:cstheme="minorHAnsi"/>
        </w:rPr>
        <w:t>rozmowy biznesowe</w:t>
      </w:r>
      <w:r>
        <w:rPr>
          <w:rFonts w:cstheme="minorHAnsi"/>
        </w:rPr>
        <w:t xml:space="preserve"> czy </w:t>
      </w:r>
      <w:r w:rsidRPr="00BE45F9">
        <w:rPr>
          <w:rFonts w:cstheme="minorHAnsi"/>
        </w:rPr>
        <w:t xml:space="preserve">poznawanie trendów i nowości rynkowych. Jest to również </w:t>
      </w:r>
      <w:r>
        <w:rPr>
          <w:rFonts w:cstheme="minorHAnsi"/>
        </w:rPr>
        <w:t xml:space="preserve">idealna możliwość do poszerzania wiedzy oraz uczestniczenia w wydarzeniach towarzyszących. </w:t>
      </w:r>
      <w:r w:rsidR="00AD2268">
        <w:rPr>
          <w:rFonts w:cstheme="minorHAnsi"/>
        </w:rPr>
        <w:t xml:space="preserve">Tegoroczne Targi </w:t>
      </w:r>
      <w:proofErr w:type="spellStart"/>
      <w:r w:rsidR="00AD2268">
        <w:rPr>
          <w:rFonts w:cstheme="minorHAnsi"/>
        </w:rPr>
        <w:t>Taropak</w:t>
      </w:r>
      <w:proofErr w:type="spellEnd"/>
      <w:r w:rsidR="00AD2268">
        <w:rPr>
          <w:rFonts w:cstheme="minorHAnsi"/>
        </w:rPr>
        <w:t xml:space="preserve"> uzupełni druga edycja </w:t>
      </w:r>
      <w:r>
        <w:rPr>
          <w:rFonts w:cstheme="minorHAnsi"/>
        </w:rPr>
        <w:t>Konferencji E-commerce, która stanowi idealną okazję d</w:t>
      </w:r>
      <w:r w:rsidRPr="00C14E63">
        <w:rPr>
          <w:rFonts w:cstheme="minorHAnsi"/>
        </w:rPr>
        <w:t>o spotkania z ekspertami z dziedziny e-handlu</w:t>
      </w:r>
      <w:r>
        <w:rPr>
          <w:rFonts w:cstheme="minorHAnsi"/>
        </w:rPr>
        <w:t>, opakowań</w:t>
      </w:r>
      <w:r w:rsidRPr="00C14E63">
        <w:rPr>
          <w:rFonts w:cstheme="minorHAnsi"/>
        </w:rPr>
        <w:t xml:space="preserve"> w e-commerce, logistyce i magazynowaniu</w:t>
      </w:r>
      <w:r>
        <w:rPr>
          <w:rFonts w:cstheme="minorHAnsi"/>
        </w:rPr>
        <w:t xml:space="preserve">, a także </w:t>
      </w:r>
      <w:r w:rsidRPr="00C14E63">
        <w:rPr>
          <w:rFonts w:cstheme="minorHAnsi"/>
        </w:rPr>
        <w:t>zagadnieniom z zakresu marketingu i sprzedaży.</w:t>
      </w:r>
      <w:r>
        <w:rPr>
          <w:rFonts w:cstheme="minorHAnsi"/>
        </w:rPr>
        <w:t xml:space="preserve"> </w:t>
      </w:r>
      <w:r w:rsidR="00FE6F4B">
        <w:rPr>
          <w:rFonts w:cstheme="minorHAnsi"/>
        </w:rPr>
        <w:t>Z r</w:t>
      </w:r>
      <w:r w:rsidR="00AD2268">
        <w:rPr>
          <w:rFonts w:cstheme="minorHAnsi"/>
        </w:rPr>
        <w:t>aportu</w:t>
      </w:r>
      <w:r w:rsidR="00E805FE">
        <w:rPr>
          <w:rFonts w:cstheme="minorHAnsi"/>
        </w:rPr>
        <w:t xml:space="preserve"> firmy </w:t>
      </w:r>
      <w:r w:rsidR="00AD2268">
        <w:rPr>
          <w:rFonts w:cstheme="minorHAnsi"/>
        </w:rPr>
        <w:t xml:space="preserve">PWC na temat </w:t>
      </w:r>
      <w:r w:rsidR="00AD2268" w:rsidRPr="00AD2268">
        <w:rPr>
          <w:rFonts w:cstheme="minorHAnsi"/>
        </w:rPr>
        <w:t xml:space="preserve">rozwoju </w:t>
      </w:r>
      <w:r w:rsidR="00FE6F4B">
        <w:rPr>
          <w:rFonts w:cstheme="minorHAnsi"/>
        </w:rPr>
        <w:t>branży e-commerce</w:t>
      </w:r>
      <w:r w:rsidR="00FE6F4B">
        <w:rPr>
          <w:rStyle w:val="Odwoanieprzypisudolnego"/>
          <w:rFonts w:cstheme="minorHAnsi"/>
        </w:rPr>
        <w:footnoteReference w:id="2"/>
      </w:r>
      <w:r w:rsidR="00FE6F4B">
        <w:rPr>
          <w:rFonts w:cstheme="minorHAnsi"/>
        </w:rPr>
        <w:t xml:space="preserve"> wynika, że</w:t>
      </w:r>
      <w:r w:rsidR="00AD2268">
        <w:rPr>
          <w:rFonts w:cstheme="minorHAnsi"/>
        </w:rPr>
        <w:t xml:space="preserve"> </w:t>
      </w:r>
      <w:r w:rsidR="00FE6F4B">
        <w:rPr>
          <w:rFonts w:cstheme="minorHAnsi"/>
        </w:rPr>
        <w:t xml:space="preserve">aż </w:t>
      </w:r>
      <w:r w:rsidR="00AD2268" w:rsidRPr="00AD2268">
        <w:rPr>
          <w:rFonts w:cstheme="minorHAnsi"/>
        </w:rPr>
        <w:t>43% Polaków zamierza wydać w 2021 r. na zakupy online więcej niż w poprzednim roku</w:t>
      </w:r>
      <w:r w:rsidR="00E805FE">
        <w:rPr>
          <w:rFonts w:cstheme="minorHAnsi"/>
        </w:rPr>
        <w:t xml:space="preserve">, a </w:t>
      </w:r>
      <w:r w:rsidR="009400C0">
        <w:rPr>
          <w:rFonts w:cstheme="minorHAnsi"/>
        </w:rPr>
        <w:t xml:space="preserve">cała </w:t>
      </w:r>
      <w:r w:rsidR="00E805FE">
        <w:rPr>
          <w:rFonts w:cstheme="minorHAnsi"/>
        </w:rPr>
        <w:t xml:space="preserve">sprzedaż internetowa w ciągu </w:t>
      </w:r>
      <w:r w:rsidR="00E805FE">
        <w:rPr>
          <w:rFonts w:cstheme="minorHAnsi"/>
        </w:rPr>
        <w:lastRenderedPageBreak/>
        <w:t xml:space="preserve">ostatnich dwóch lat </w:t>
      </w:r>
      <w:r w:rsidR="00E805FE" w:rsidRPr="00E805FE">
        <w:rPr>
          <w:rFonts w:cstheme="minorHAnsi"/>
        </w:rPr>
        <w:t>zwiększyła się o 35%</w:t>
      </w:r>
      <w:r w:rsidR="00E805FE">
        <w:rPr>
          <w:rFonts w:cstheme="minorHAnsi"/>
        </w:rPr>
        <w:t xml:space="preserve">. Ponadto, niemal </w:t>
      </w:r>
      <w:r w:rsidR="00E805FE" w:rsidRPr="00E805FE">
        <w:rPr>
          <w:rFonts w:cstheme="minorHAnsi"/>
        </w:rPr>
        <w:t xml:space="preserve">85% Polaków </w:t>
      </w:r>
      <w:r w:rsidR="00E805FE">
        <w:rPr>
          <w:rFonts w:cstheme="minorHAnsi"/>
        </w:rPr>
        <w:t xml:space="preserve">deklaruje, że nawet </w:t>
      </w:r>
      <w:r w:rsidR="00E805FE" w:rsidRPr="00E805FE">
        <w:rPr>
          <w:rFonts w:cstheme="minorHAnsi"/>
        </w:rPr>
        <w:t>po zakończeniu pandemii nie zamierza zmniejszyć częstotliwości e-zakupów</w:t>
      </w:r>
      <w:r w:rsidR="00E805FE">
        <w:rPr>
          <w:rFonts w:cstheme="minorHAnsi"/>
        </w:rPr>
        <w:t xml:space="preserve">. Daje to znaczący sygnał, że Konferencja E-commerce jest </w:t>
      </w:r>
      <w:r w:rsidR="00042EF8">
        <w:rPr>
          <w:rFonts w:cstheme="minorHAnsi"/>
        </w:rPr>
        <w:t xml:space="preserve">ważną </w:t>
      </w:r>
      <w:r w:rsidR="009400C0">
        <w:rPr>
          <w:rFonts w:cstheme="minorHAnsi"/>
        </w:rPr>
        <w:t>odpowiedzią na zmiany zachodzący w rynku e-handlu</w:t>
      </w:r>
      <w:r w:rsidR="007C100D">
        <w:rPr>
          <w:rFonts w:cstheme="minorHAnsi"/>
        </w:rPr>
        <w:t xml:space="preserve"> i powinna</w:t>
      </w:r>
      <w:r w:rsidR="00E805FE">
        <w:rPr>
          <w:rFonts w:cstheme="minorHAnsi"/>
        </w:rPr>
        <w:t xml:space="preserve"> na stałe zagościć w programie Targów </w:t>
      </w:r>
      <w:proofErr w:type="spellStart"/>
      <w:r w:rsidR="00E805FE">
        <w:rPr>
          <w:rFonts w:cstheme="minorHAnsi"/>
        </w:rPr>
        <w:t>Taropak</w:t>
      </w:r>
      <w:proofErr w:type="spellEnd"/>
      <w:r w:rsidR="00E805FE">
        <w:rPr>
          <w:rFonts w:cstheme="minorHAnsi"/>
        </w:rPr>
        <w:t>.</w:t>
      </w:r>
    </w:p>
    <w:p w:rsidR="007310B4" w:rsidRPr="007310B4" w:rsidRDefault="007310B4" w:rsidP="00616C15">
      <w:pPr>
        <w:spacing w:before="240" w:after="0" w:line="360" w:lineRule="auto"/>
        <w:jc w:val="both"/>
        <w:rPr>
          <w:b/>
        </w:rPr>
      </w:pPr>
      <w:r w:rsidRPr="007310B4">
        <w:rPr>
          <w:b/>
        </w:rPr>
        <w:t>Partner w biznesie</w:t>
      </w:r>
    </w:p>
    <w:p w:rsidR="00AD092C" w:rsidRDefault="004154C8" w:rsidP="00AD092C">
      <w:pPr>
        <w:spacing w:before="240" w:after="0" w:line="360" w:lineRule="auto"/>
        <w:jc w:val="both"/>
      </w:pPr>
      <w:r w:rsidRPr="001732BE">
        <w:rPr>
          <w:i/>
        </w:rPr>
        <w:t xml:space="preserve">- </w:t>
      </w:r>
      <w:proofErr w:type="spellStart"/>
      <w:r w:rsidRPr="001732BE">
        <w:rPr>
          <w:i/>
        </w:rPr>
        <w:t>Taropak</w:t>
      </w:r>
      <w:proofErr w:type="spellEnd"/>
      <w:r w:rsidRPr="001732BE">
        <w:rPr>
          <w:i/>
        </w:rPr>
        <w:t xml:space="preserve"> to </w:t>
      </w:r>
      <w:r w:rsidR="00D67CA8">
        <w:rPr>
          <w:i/>
        </w:rPr>
        <w:t xml:space="preserve">od lat </w:t>
      </w:r>
      <w:r w:rsidRPr="001732BE">
        <w:rPr>
          <w:i/>
        </w:rPr>
        <w:t xml:space="preserve">najważniejsze wydarzenie biznesowe dla branży opakowań. Setki nowości, merytoryczny program i biznesowe rozmowy to cechy charakterystyczne tych </w:t>
      </w:r>
      <w:r w:rsidR="00997384">
        <w:rPr>
          <w:i/>
        </w:rPr>
        <w:t>Targów. Ich z</w:t>
      </w:r>
      <w:r w:rsidRPr="001732BE">
        <w:rPr>
          <w:i/>
        </w:rPr>
        <w:t>akres tematyczny to nie tylko opakowania, materiały, surowce, etykiety i logistyka, ale też maszyny i roboty, nieodzowne w nowoczesnym przemyśle.</w:t>
      </w:r>
      <w:r w:rsidR="00890A8C">
        <w:rPr>
          <w:i/>
        </w:rPr>
        <w:t xml:space="preserve"> </w:t>
      </w:r>
      <w:r w:rsidR="001713E6">
        <w:rPr>
          <w:i/>
        </w:rPr>
        <w:t>Dlatego s</w:t>
      </w:r>
      <w:r w:rsidR="00890A8C" w:rsidRPr="001713E6">
        <w:rPr>
          <w:i/>
        </w:rPr>
        <w:t>zczególnie cieszy nas fakt, że segment związany z szeroko rozumianą automatyzacją, robotyzacją i digitalizacją, zwłaszcza w kontekście prezentowanych maszyn i robotów, niezbędnych dla procesów optymalizacji i zwiększania konkurencyjności, cieszy się</w:t>
      </w:r>
      <w:r w:rsidR="001713E6" w:rsidRPr="001713E6">
        <w:rPr>
          <w:i/>
        </w:rPr>
        <w:t xml:space="preserve"> </w:t>
      </w:r>
      <w:r w:rsidR="001713E6">
        <w:rPr>
          <w:i/>
        </w:rPr>
        <w:t>na Targach</w:t>
      </w:r>
      <w:r w:rsidR="00890A8C" w:rsidRPr="001713E6">
        <w:rPr>
          <w:i/>
        </w:rPr>
        <w:t xml:space="preserve"> tak dużą popularnością.</w:t>
      </w:r>
      <w:r w:rsidRPr="001713E6">
        <w:rPr>
          <w:i/>
        </w:rPr>
        <w:t xml:space="preserve"> </w:t>
      </w:r>
      <w:r w:rsidR="001713E6">
        <w:rPr>
          <w:i/>
        </w:rPr>
        <w:t>Cały czas r</w:t>
      </w:r>
      <w:r w:rsidRPr="001732BE">
        <w:rPr>
          <w:i/>
        </w:rPr>
        <w:t xml:space="preserve">ozwijamy </w:t>
      </w:r>
      <w:r w:rsidR="00890A8C">
        <w:rPr>
          <w:i/>
        </w:rPr>
        <w:t xml:space="preserve">także </w:t>
      </w:r>
      <w:r w:rsidRPr="001732BE">
        <w:rPr>
          <w:i/>
        </w:rPr>
        <w:t>tematy dotyczące opakowań dla e-commerce</w:t>
      </w:r>
      <w:r>
        <w:rPr>
          <w:i/>
        </w:rPr>
        <w:t>,</w:t>
      </w:r>
      <w:r w:rsidRPr="001732BE">
        <w:rPr>
          <w:i/>
        </w:rPr>
        <w:t xml:space="preserve"> jak i opakowań jako wyzwań przyszłości</w:t>
      </w:r>
      <w:r w:rsidR="00A576C0">
        <w:rPr>
          <w:i/>
        </w:rPr>
        <w:t xml:space="preserve"> </w:t>
      </w:r>
      <w:r>
        <w:t xml:space="preserve">– </w:t>
      </w:r>
      <w:r w:rsidR="00616C15">
        <w:t xml:space="preserve">podsumowuje Hanna Zdrojewska, </w:t>
      </w:r>
      <w:r>
        <w:t xml:space="preserve">dyrektor Targów </w:t>
      </w:r>
      <w:proofErr w:type="spellStart"/>
      <w:r>
        <w:t>Taropak</w:t>
      </w:r>
      <w:proofErr w:type="spellEnd"/>
      <w:r>
        <w:t>.</w:t>
      </w:r>
    </w:p>
    <w:p w:rsidR="00AD092C" w:rsidRDefault="00AD092C">
      <w:pPr>
        <w:spacing w:before="240" w:after="0" w:line="360" w:lineRule="auto"/>
        <w:jc w:val="both"/>
      </w:pPr>
      <w:r>
        <w:rPr>
          <w:rFonts w:cstheme="minorHAnsi"/>
        </w:rPr>
        <w:t xml:space="preserve">Dowiedz się więcej na </w:t>
      </w:r>
      <w:hyperlink r:id="rId8" w:history="1">
        <w:r w:rsidRPr="000C0D5C">
          <w:rPr>
            <w:rStyle w:val="Hipercze"/>
            <w:rFonts w:cstheme="minorHAnsi"/>
          </w:rPr>
          <w:t>www.taropak.pl</w:t>
        </w:r>
      </w:hyperlink>
      <w:r>
        <w:rPr>
          <w:rFonts w:cstheme="minorHAnsi"/>
        </w:rPr>
        <w:t xml:space="preserve">. </w:t>
      </w:r>
    </w:p>
    <w:sectPr w:rsidR="00AD09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62" w:rsidRDefault="00EC6F62" w:rsidP="007E0C43">
      <w:pPr>
        <w:spacing w:after="0" w:line="240" w:lineRule="auto"/>
      </w:pPr>
      <w:r>
        <w:separator/>
      </w:r>
    </w:p>
  </w:endnote>
  <w:endnote w:type="continuationSeparator" w:id="0">
    <w:p w:rsidR="00EC6F62" w:rsidRDefault="00EC6F62" w:rsidP="007E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00" w:rsidRDefault="00973F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5937103</wp:posOffset>
          </wp:positionH>
          <wp:positionV relativeFrom="paragraph">
            <wp:posOffset>-560070</wp:posOffset>
          </wp:positionV>
          <wp:extent cx="639129" cy="1074899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gi 100 l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9" cy="1074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62" w:rsidRDefault="00EC6F62" w:rsidP="007E0C43">
      <w:pPr>
        <w:spacing w:after="0" w:line="240" w:lineRule="auto"/>
      </w:pPr>
      <w:r>
        <w:separator/>
      </w:r>
    </w:p>
  </w:footnote>
  <w:footnote w:type="continuationSeparator" w:id="0">
    <w:p w:rsidR="00EC6F62" w:rsidRDefault="00EC6F62" w:rsidP="007E0C43">
      <w:pPr>
        <w:spacing w:after="0" w:line="240" w:lineRule="auto"/>
      </w:pPr>
      <w:r>
        <w:continuationSeparator/>
      </w:r>
    </w:p>
  </w:footnote>
  <w:footnote w:id="1">
    <w:p w:rsidR="00FE6F4B" w:rsidRDefault="00FE6F4B">
      <w:pPr>
        <w:pStyle w:val="Tekstprzypisudolnego"/>
      </w:pPr>
      <w:r>
        <w:rPr>
          <w:rStyle w:val="Odwoanieprzypisudolnego"/>
        </w:rPr>
        <w:footnoteRef/>
      </w:r>
      <w:r>
        <w:t xml:space="preserve"> Raport przygotowany przez </w:t>
      </w:r>
      <w:proofErr w:type="spellStart"/>
      <w:r>
        <w:t>SpotData</w:t>
      </w:r>
      <w:proofErr w:type="spellEnd"/>
      <w:r>
        <w:t xml:space="preserve"> dla Santander Bank Polska „Rewolucja opakowań”</w:t>
      </w:r>
      <w:r w:rsidR="00B662B8">
        <w:t xml:space="preserve">, 2021 r. </w:t>
      </w:r>
      <w:r>
        <w:t>(</w:t>
      </w:r>
      <w:r w:rsidRPr="00FE6F4B">
        <w:t>https://spotdata.pl/research/download/100</w:t>
      </w:r>
      <w:r>
        <w:t>)</w:t>
      </w:r>
    </w:p>
  </w:footnote>
  <w:footnote w:id="2">
    <w:p w:rsidR="00FE6F4B" w:rsidRDefault="00FE6F4B" w:rsidP="00FE6F4B">
      <w:pPr>
        <w:pStyle w:val="Tekstprzypisudolnego"/>
      </w:pPr>
      <w:r>
        <w:rPr>
          <w:rStyle w:val="Odwoanieprzypisudolnego"/>
        </w:rPr>
        <w:footnoteRef/>
      </w:r>
      <w:r>
        <w:t xml:space="preserve"> Raport firmy PWC „Strategie, które wygrywają. Liderzy e-commerce o rozwoju handlu cyfrowego”, 2021 r. (</w:t>
      </w:r>
      <w:r w:rsidRPr="00FE6F4B">
        <w:t>https://www.pwc.pl/pl/publikacje/liderzy-e-commerce-o-rozwoju-handlu-cyfrowego.html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43" w:rsidRDefault="00973F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9C6011" wp14:editId="571E4C02">
          <wp:simplePos x="0" y="0"/>
          <wp:positionH relativeFrom="column">
            <wp:posOffset>90805</wp:posOffset>
          </wp:positionH>
          <wp:positionV relativeFrom="paragraph">
            <wp:posOffset>-232654</wp:posOffset>
          </wp:positionV>
          <wp:extent cx="3014345" cy="5835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opak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34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0F"/>
    <w:rsid w:val="00000F72"/>
    <w:rsid w:val="000146EE"/>
    <w:rsid w:val="00035E1A"/>
    <w:rsid w:val="00042EF8"/>
    <w:rsid w:val="00072663"/>
    <w:rsid w:val="00083C00"/>
    <w:rsid w:val="000B5ADD"/>
    <w:rsid w:val="000C2BC4"/>
    <w:rsid w:val="0015678B"/>
    <w:rsid w:val="00163187"/>
    <w:rsid w:val="001713E6"/>
    <w:rsid w:val="001732BE"/>
    <w:rsid w:val="001B0872"/>
    <w:rsid w:val="002831D1"/>
    <w:rsid w:val="00294293"/>
    <w:rsid w:val="002C0883"/>
    <w:rsid w:val="002D09A5"/>
    <w:rsid w:val="00306C92"/>
    <w:rsid w:val="00311E60"/>
    <w:rsid w:val="00327E46"/>
    <w:rsid w:val="003652DD"/>
    <w:rsid w:val="00385522"/>
    <w:rsid w:val="003B1668"/>
    <w:rsid w:val="003C016C"/>
    <w:rsid w:val="004154C8"/>
    <w:rsid w:val="00444792"/>
    <w:rsid w:val="00461B30"/>
    <w:rsid w:val="004868DC"/>
    <w:rsid w:val="004926D4"/>
    <w:rsid w:val="004B4002"/>
    <w:rsid w:val="004B77B6"/>
    <w:rsid w:val="004D46E6"/>
    <w:rsid w:val="0054674D"/>
    <w:rsid w:val="00585089"/>
    <w:rsid w:val="0058604E"/>
    <w:rsid w:val="00593E88"/>
    <w:rsid w:val="00616C15"/>
    <w:rsid w:val="006174D8"/>
    <w:rsid w:val="006216BB"/>
    <w:rsid w:val="0063295A"/>
    <w:rsid w:val="006B3135"/>
    <w:rsid w:val="007310B4"/>
    <w:rsid w:val="007500D5"/>
    <w:rsid w:val="007C100D"/>
    <w:rsid w:val="007C4BE3"/>
    <w:rsid w:val="007E0C43"/>
    <w:rsid w:val="007F0214"/>
    <w:rsid w:val="00820E18"/>
    <w:rsid w:val="00890A8C"/>
    <w:rsid w:val="0089411D"/>
    <w:rsid w:val="008E7D20"/>
    <w:rsid w:val="009400C0"/>
    <w:rsid w:val="00973F00"/>
    <w:rsid w:val="00997384"/>
    <w:rsid w:val="009B5782"/>
    <w:rsid w:val="009D0BF7"/>
    <w:rsid w:val="009F782F"/>
    <w:rsid w:val="00A12A1A"/>
    <w:rsid w:val="00A13A04"/>
    <w:rsid w:val="00A25280"/>
    <w:rsid w:val="00A27F49"/>
    <w:rsid w:val="00A576C0"/>
    <w:rsid w:val="00A6360F"/>
    <w:rsid w:val="00AD092C"/>
    <w:rsid w:val="00AD0D22"/>
    <w:rsid w:val="00AD2268"/>
    <w:rsid w:val="00B01ECD"/>
    <w:rsid w:val="00B35D06"/>
    <w:rsid w:val="00B45975"/>
    <w:rsid w:val="00B45ABF"/>
    <w:rsid w:val="00B662B8"/>
    <w:rsid w:val="00C53D86"/>
    <w:rsid w:val="00C94B35"/>
    <w:rsid w:val="00CD1BDA"/>
    <w:rsid w:val="00D40DEA"/>
    <w:rsid w:val="00D67CA8"/>
    <w:rsid w:val="00E1477E"/>
    <w:rsid w:val="00E433B6"/>
    <w:rsid w:val="00E47D1B"/>
    <w:rsid w:val="00E56C1A"/>
    <w:rsid w:val="00E74109"/>
    <w:rsid w:val="00E805FE"/>
    <w:rsid w:val="00E95919"/>
    <w:rsid w:val="00EA09B6"/>
    <w:rsid w:val="00EC4A49"/>
    <w:rsid w:val="00EC6F62"/>
    <w:rsid w:val="00ED28AB"/>
    <w:rsid w:val="00EF75C5"/>
    <w:rsid w:val="00F6150B"/>
    <w:rsid w:val="00FE6F4B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43"/>
  </w:style>
  <w:style w:type="paragraph" w:styleId="Stopka">
    <w:name w:val="footer"/>
    <w:basedOn w:val="Normalny"/>
    <w:link w:val="StopkaZnak"/>
    <w:uiPriority w:val="99"/>
    <w:unhideWhenUsed/>
    <w:rsid w:val="007E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43"/>
  </w:style>
  <w:style w:type="paragraph" w:styleId="Tekstdymka">
    <w:name w:val="Balloon Text"/>
    <w:basedOn w:val="Normalny"/>
    <w:link w:val="TekstdymkaZnak"/>
    <w:uiPriority w:val="99"/>
    <w:semiHidden/>
    <w:unhideWhenUsed/>
    <w:rsid w:val="007E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B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738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6F4B"/>
    <w:rPr>
      <w:vertAlign w:val="superscript"/>
    </w:rPr>
  </w:style>
  <w:style w:type="paragraph" w:styleId="Poprawka">
    <w:name w:val="Revision"/>
    <w:hidden/>
    <w:uiPriority w:val="99"/>
    <w:semiHidden/>
    <w:rsid w:val="003855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5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5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43"/>
  </w:style>
  <w:style w:type="paragraph" w:styleId="Stopka">
    <w:name w:val="footer"/>
    <w:basedOn w:val="Normalny"/>
    <w:link w:val="StopkaZnak"/>
    <w:uiPriority w:val="99"/>
    <w:unhideWhenUsed/>
    <w:rsid w:val="007E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43"/>
  </w:style>
  <w:style w:type="paragraph" w:styleId="Tekstdymka">
    <w:name w:val="Balloon Text"/>
    <w:basedOn w:val="Normalny"/>
    <w:link w:val="TekstdymkaZnak"/>
    <w:uiPriority w:val="99"/>
    <w:semiHidden/>
    <w:unhideWhenUsed/>
    <w:rsid w:val="007E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B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738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6F4B"/>
    <w:rPr>
      <w:vertAlign w:val="superscript"/>
    </w:rPr>
  </w:style>
  <w:style w:type="paragraph" w:styleId="Poprawka">
    <w:name w:val="Revision"/>
    <w:hidden/>
    <w:uiPriority w:val="99"/>
    <w:semiHidden/>
    <w:rsid w:val="003855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5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5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op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CC52-B423-4914-BF11-9A8DB4DC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Zięba</dc:creator>
  <cp:lastModifiedBy>Anna Zięba</cp:lastModifiedBy>
  <cp:revision>9</cp:revision>
  <dcterms:created xsi:type="dcterms:W3CDTF">2021-08-10T08:21:00Z</dcterms:created>
  <dcterms:modified xsi:type="dcterms:W3CDTF">2021-08-27T12:18:00Z</dcterms:modified>
</cp:coreProperties>
</file>